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AC0A" w14:textId="200CC873" w:rsidR="00E112C7" w:rsidRPr="00D90233" w:rsidRDefault="005A36D8" w:rsidP="003D69C3">
      <w:pPr>
        <w:pStyle w:val="Heading2"/>
        <w:rPr>
          <w:rFonts w:ascii="Century Gothic" w:hAnsi="Century Gothic"/>
          <w:sz w:val="28"/>
        </w:rPr>
      </w:pPr>
      <w:r w:rsidRPr="00D90233">
        <w:rPr>
          <w:rFonts w:ascii="Century Gothic" w:hAnsi="Century Gothic"/>
          <w:sz w:val="28"/>
        </w:rPr>
        <w:t xml:space="preserve">Job </w:t>
      </w:r>
      <w:r w:rsidR="00E112C7" w:rsidRPr="00D90233">
        <w:rPr>
          <w:rFonts w:ascii="Century Gothic" w:hAnsi="Century Gothic"/>
          <w:sz w:val="28"/>
        </w:rPr>
        <w:t>Description and Selection Criteria</w:t>
      </w:r>
    </w:p>
    <w:p w14:paraId="25729515" w14:textId="37CE0E09" w:rsidR="00D90233" w:rsidRPr="00D90233" w:rsidRDefault="00D90233" w:rsidP="00D90233">
      <w:pPr>
        <w:rPr>
          <w:rFonts w:ascii="Century Gothic" w:hAnsi="Century Gothic"/>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704"/>
      </w:tblGrid>
      <w:tr w:rsidR="00D90233" w:rsidRPr="00D90233" w14:paraId="4B2103D7" w14:textId="77777777" w:rsidTr="000678C0">
        <w:tc>
          <w:tcPr>
            <w:tcW w:w="2518" w:type="dxa"/>
            <w:tcBorders>
              <w:left w:val="nil"/>
            </w:tcBorders>
            <w:shd w:val="clear" w:color="auto" w:fill="D9D9D9"/>
            <w:vAlign w:val="center"/>
          </w:tcPr>
          <w:p w14:paraId="6E82E1FD"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Job title</w:t>
            </w:r>
          </w:p>
        </w:tc>
        <w:tc>
          <w:tcPr>
            <w:tcW w:w="5704" w:type="dxa"/>
            <w:tcBorders>
              <w:right w:val="nil"/>
            </w:tcBorders>
            <w:vAlign w:val="center"/>
          </w:tcPr>
          <w:p w14:paraId="2E248C24" w14:textId="326D918C" w:rsidR="00D90233" w:rsidRPr="00F32C16" w:rsidRDefault="00D90233" w:rsidP="00D261DB">
            <w:pPr>
              <w:pStyle w:val="Tabletext"/>
              <w:jc w:val="left"/>
              <w:rPr>
                <w:rFonts w:ascii="Century Gothic" w:hAnsi="Century Gothic"/>
                <w:szCs w:val="22"/>
              </w:rPr>
            </w:pPr>
            <w:r w:rsidRPr="00F32C16">
              <w:rPr>
                <w:rFonts w:ascii="Century Gothic" w:hAnsi="Century Gothic" w:cs="Arial"/>
                <w:szCs w:val="28"/>
                <w:lang w:eastAsia="en-GB"/>
              </w:rPr>
              <w:t>Academic Admissions Assessor</w:t>
            </w:r>
          </w:p>
        </w:tc>
      </w:tr>
      <w:tr w:rsidR="00D90233" w:rsidRPr="00D90233" w14:paraId="66BADBBC" w14:textId="77777777" w:rsidTr="000678C0">
        <w:tc>
          <w:tcPr>
            <w:tcW w:w="2518" w:type="dxa"/>
            <w:tcBorders>
              <w:left w:val="nil"/>
            </w:tcBorders>
            <w:shd w:val="clear" w:color="auto" w:fill="D9D9D9"/>
            <w:vAlign w:val="center"/>
          </w:tcPr>
          <w:p w14:paraId="4C9D22E0"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Division</w:t>
            </w:r>
          </w:p>
        </w:tc>
        <w:tc>
          <w:tcPr>
            <w:tcW w:w="5704" w:type="dxa"/>
            <w:tcBorders>
              <w:right w:val="nil"/>
            </w:tcBorders>
            <w:vAlign w:val="center"/>
          </w:tcPr>
          <w:p w14:paraId="434FC810"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Social Sciences</w:t>
            </w:r>
          </w:p>
        </w:tc>
      </w:tr>
      <w:tr w:rsidR="00D90233" w:rsidRPr="00D90233" w14:paraId="130D69A0" w14:textId="77777777" w:rsidTr="000678C0">
        <w:tc>
          <w:tcPr>
            <w:tcW w:w="2518" w:type="dxa"/>
            <w:tcBorders>
              <w:left w:val="nil"/>
            </w:tcBorders>
            <w:shd w:val="clear" w:color="auto" w:fill="D9D9D9"/>
            <w:vAlign w:val="center"/>
          </w:tcPr>
          <w:p w14:paraId="298CB7E8"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 xml:space="preserve">Department </w:t>
            </w:r>
          </w:p>
        </w:tc>
        <w:tc>
          <w:tcPr>
            <w:tcW w:w="5704" w:type="dxa"/>
            <w:tcBorders>
              <w:right w:val="nil"/>
            </w:tcBorders>
            <w:vAlign w:val="center"/>
          </w:tcPr>
          <w:p w14:paraId="1677F562"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Blavatnik School of Government</w:t>
            </w:r>
          </w:p>
        </w:tc>
      </w:tr>
      <w:tr w:rsidR="00D90233" w:rsidRPr="00D90233" w14:paraId="0C2AFF00" w14:textId="77777777" w:rsidTr="000678C0">
        <w:tc>
          <w:tcPr>
            <w:tcW w:w="2518" w:type="dxa"/>
            <w:tcBorders>
              <w:left w:val="nil"/>
            </w:tcBorders>
            <w:shd w:val="clear" w:color="auto" w:fill="D9D9D9"/>
            <w:vAlign w:val="center"/>
          </w:tcPr>
          <w:p w14:paraId="0499DB5F"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Location</w:t>
            </w:r>
          </w:p>
        </w:tc>
        <w:tc>
          <w:tcPr>
            <w:tcW w:w="5704" w:type="dxa"/>
            <w:tcBorders>
              <w:right w:val="nil"/>
            </w:tcBorders>
            <w:vAlign w:val="center"/>
          </w:tcPr>
          <w:p w14:paraId="1D81807D" w14:textId="0BCF5F56" w:rsidR="00D90233" w:rsidRPr="00F32C16" w:rsidRDefault="00D90233" w:rsidP="00D261DB">
            <w:pPr>
              <w:pStyle w:val="Tabletext"/>
              <w:rPr>
                <w:rFonts w:ascii="Century Gothic" w:hAnsi="Century Gothic"/>
                <w:szCs w:val="22"/>
              </w:rPr>
            </w:pPr>
            <w:r w:rsidRPr="00F32C16">
              <w:rPr>
                <w:rFonts w:ascii="Century Gothic" w:hAnsi="Century Gothic"/>
                <w:szCs w:val="22"/>
              </w:rPr>
              <w:t>Radcliffe Observatory Quarter, Woodstock Road, Oxford</w:t>
            </w:r>
            <w:r w:rsidR="000678C0">
              <w:rPr>
                <w:rFonts w:ascii="Century Gothic" w:hAnsi="Century Gothic"/>
                <w:szCs w:val="22"/>
              </w:rPr>
              <w:t>,</w:t>
            </w:r>
            <w:r w:rsidRPr="00F32C16">
              <w:rPr>
                <w:rFonts w:ascii="Century Gothic" w:hAnsi="Century Gothic"/>
                <w:szCs w:val="22"/>
              </w:rPr>
              <w:t xml:space="preserve"> OX2 6GG</w:t>
            </w:r>
          </w:p>
        </w:tc>
      </w:tr>
      <w:tr w:rsidR="00D90233" w:rsidRPr="00D90233" w14:paraId="6BD599A0" w14:textId="77777777" w:rsidTr="000678C0">
        <w:tc>
          <w:tcPr>
            <w:tcW w:w="2518" w:type="dxa"/>
            <w:tcBorders>
              <w:left w:val="nil"/>
            </w:tcBorders>
            <w:shd w:val="clear" w:color="auto" w:fill="D9D9D9"/>
            <w:vAlign w:val="center"/>
          </w:tcPr>
          <w:p w14:paraId="68855054" w14:textId="77777777" w:rsidR="00D90233" w:rsidRPr="00F32C16" w:rsidRDefault="00D90233" w:rsidP="00D261DB">
            <w:pPr>
              <w:pStyle w:val="Tabletext"/>
              <w:jc w:val="left"/>
              <w:rPr>
                <w:rFonts w:ascii="Century Gothic" w:hAnsi="Century Gothic"/>
                <w:szCs w:val="22"/>
              </w:rPr>
            </w:pPr>
            <w:r w:rsidRPr="00F32C16">
              <w:rPr>
                <w:rFonts w:ascii="Century Gothic" w:hAnsi="Century Gothic"/>
                <w:szCs w:val="22"/>
              </w:rPr>
              <w:t>Grade and salary</w:t>
            </w:r>
          </w:p>
        </w:tc>
        <w:tc>
          <w:tcPr>
            <w:tcW w:w="5704" w:type="dxa"/>
            <w:tcBorders>
              <w:right w:val="nil"/>
            </w:tcBorders>
            <w:vAlign w:val="center"/>
          </w:tcPr>
          <w:p w14:paraId="5D67A298" w14:textId="539148A4" w:rsidR="00D90233" w:rsidRPr="00F32C16" w:rsidRDefault="00D90233" w:rsidP="00D90233">
            <w:pPr>
              <w:pStyle w:val="Tabletext"/>
              <w:jc w:val="left"/>
              <w:rPr>
                <w:rFonts w:ascii="Century Gothic" w:hAnsi="Century Gothic"/>
                <w:szCs w:val="22"/>
              </w:rPr>
            </w:pPr>
            <w:r w:rsidRPr="00F32C16">
              <w:rPr>
                <w:rFonts w:ascii="Century Gothic" w:hAnsi="Century Gothic" w:cs="Arial"/>
                <w:szCs w:val="28"/>
              </w:rPr>
              <w:t>Grade 8.2: £21.94 per hour</w:t>
            </w:r>
          </w:p>
        </w:tc>
      </w:tr>
      <w:tr w:rsidR="00D90233" w:rsidRPr="00D90233" w14:paraId="1C7EED71" w14:textId="77777777" w:rsidTr="000678C0">
        <w:trPr>
          <w:trHeight w:val="521"/>
        </w:trPr>
        <w:tc>
          <w:tcPr>
            <w:tcW w:w="2518" w:type="dxa"/>
            <w:tcBorders>
              <w:left w:val="nil"/>
            </w:tcBorders>
            <w:shd w:val="clear" w:color="auto" w:fill="D9D9D9"/>
            <w:vAlign w:val="center"/>
          </w:tcPr>
          <w:p w14:paraId="7C738B5A" w14:textId="77777777" w:rsidR="00D90233" w:rsidRPr="00F32C16" w:rsidRDefault="00D90233" w:rsidP="009775CA">
            <w:pPr>
              <w:pStyle w:val="Tabletext"/>
              <w:rPr>
                <w:rFonts w:ascii="Century Gothic" w:hAnsi="Century Gothic"/>
                <w:szCs w:val="22"/>
              </w:rPr>
            </w:pPr>
            <w:r w:rsidRPr="00F32C16">
              <w:rPr>
                <w:rFonts w:ascii="Century Gothic" w:hAnsi="Century Gothic"/>
                <w:szCs w:val="22"/>
              </w:rPr>
              <w:t>Hours</w:t>
            </w:r>
          </w:p>
        </w:tc>
        <w:tc>
          <w:tcPr>
            <w:tcW w:w="5704" w:type="dxa"/>
            <w:tcBorders>
              <w:right w:val="nil"/>
            </w:tcBorders>
            <w:vAlign w:val="center"/>
          </w:tcPr>
          <w:p w14:paraId="77B60230" w14:textId="1E1BC1F8" w:rsidR="00D90233" w:rsidRPr="00F32C16" w:rsidRDefault="009775CA" w:rsidP="009775CA">
            <w:pPr>
              <w:pStyle w:val="Tabletext"/>
              <w:spacing w:before="0" w:after="0"/>
              <w:rPr>
                <w:rFonts w:ascii="Century Gothic" w:hAnsi="Century Gothic"/>
                <w:i/>
                <w:szCs w:val="21"/>
                <w:highlight w:val="yellow"/>
              </w:rPr>
            </w:pPr>
            <w:r>
              <w:rPr>
                <w:rFonts w:ascii="Century Gothic" w:hAnsi="Century Gothic"/>
                <w:szCs w:val="22"/>
              </w:rPr>
              <w:t>As required</w:t>
            </w:r>
            <w:r w:rsidR="00D90233" w:rsidRPr="00F32C16">
              <w:rPr>
                <w:rFonts w:ascii="Century Gothic" w:hAnsi="Century Gothic"/>
                <w:szCs w:val="22"/>
              </w:rPr>
              <w:t xml:space="preserve"> </w:t>
            </w:r>
          </w:p>
        </w:tc>
      </w:tr>
      <w:tr w:rsidR="00D90233" w:rsidRPr="00D90233" w14:paraId="3259E490" w14:textId="77777777" w:rsidTr="000678C0">
        <w:trPr>
          <w:trHeight w:val="612"/>
        </w:trPr>
        <w:tc>
          <w:tcPr>
            <w:tcW w:w="2518" w:type="dxa"/>
            <w:tcBorders>
              <w:left w:val="nil"/>
            </w:tcBorders>
            <w:shd w:val="clear" w:color="auto" w:fill="D9D9D9"/>
            <w:vAlign w:val="center"/>
          </w:tcPr>
          <w:p w14:paraId="4C67C138" w14:textId="77777777" w:rsidR="00D90233" w:rsidRPr="00F32C16" w:rsidRDefault="00D90233" w:rsidP="009775CA">
            <w:pPr>
              <w:pStyle w:val="Tabletext"/>
              <w:rPr>
                <w:rFonts w:ascii="Century Gothic" w:hAnsi="Century Gothic"/>
                <w:szCs w:val="22"/>
              </w:rPr>
            </w:pPr>
            <w:r w:rsidRPr="00F32C16">
              <w:rPr>
                <w:rFonts w:ascii="Century Gothic" w:hAnsi="Century Gothic"/>
                <w:szCs w:val="22"/>
              </w:rPr>
              <w:t>Contract type</w:t>
            </w:r>
          </w:p>
        </w:tc>
        <w:tc>
          <w:tcPr>
            <w:tcW w:w="5704" w:type="dxa"/>
            <w:tcBorders>
              <w:right w:val="nil"/>
            </w:tcBorders>
            <w:vAlign w:val="center"/>
          </w:tcPr>
          <w:p w14:paraId="436C71E3" w14:textId="7694DD5E" w:rsidR="00D90233" w:rsidRPr="00F32C16" w:rsidRDefault="009775CA" w:rsidP="009775CA">
            <w:pPr>
              <w:pStyle w:val="Tabletext"/>
              <w:spacing w:before="0"/>
              <w:rPr>
                <w:rFonts w:ascii="Century Gothic" w:hAnsi="Century Gothic" w:cs="Arial"/>
                <w:szCs w:val="22"/>
              </w:rPr>
            </w:pPr>
            <w:r>
              <w:rPr>
                <w:rFonts w:ascii="Century Gothic" w:hAnsi="Century Gothic" w:cs="Arial"/>
                <w:szCs w:val="22"/>
              </w:rPr>
              <w:t>Casual engagement</w:t>
            </w:r>
          </w:p>
        </w:tc>
      </w:tr>
      <w:tr w:rsidR="00D90233" w:rsidRPr="00D90233" w14:paraId="023991E1" w14:textId="77777777" w:rsidTr="000678C0">
        <w:trPr>
          <w:trHeight w:val="461"/>
        </w:trPr>
        <w:tc>
          <w:tcPr>
            <w:tcW w:w="2518" w:type="dxa"/>
            <w:tcBorders>
              <w:left w:val="nil"/>
            </w:tcBorders>
            <w:shd w:val="clear" w:color="auto" w:fill="D9D9D9"/>
            <w:vAlign w:val="center"/>
          </w:tcPr>
          <w:p w14:paraId="3DA22CA6" w14:textId="77777777" w:rsidR="00D90233" w:rsidRPr="00F32C16" w:rsidRDefault="00D90233" w:rsidP="009775CA">
            <w:pPr>
              <w:pStyle w:val="Tabletext"/>
              <w:rPr>
                <w:rFonts w:ascii="Century Gothic" w:hAnsi="Century Gothic"/>
                <w:szCs w:val="22"/>
              </w:rPr>
            </w:pPr>
            <w:r w:rsidRPr="00F32C16">
              <w:rPr>
                <w:rFonts w:ascii="Century Gothic" w:hAnsi="Century Gothic"/>
                <w:szCs w:val="22"/>
              </w:rPr>
              <w:t>Reporting to</w:t>
            </w:r>
          </w:p>
        </w:tc>
        <w:tc>
          <w:tcPr>
            <w:tcW w:w="5704" w:type="dxa"/>
            <w:tcBorders>
              <w:right w:val="nil"/>
            </w:tcBorders>
            <w:vAlign w:val="center"/>
          </w:tcPr>
          <w:p w14:paraId="1197A8F6" w14:textId="7994E4DE" w:rsidR="00D90233" w:rsidRPr="00F32C16" w:rsidRDefault="00D90233" w:rsidP="009775CA">
            <w:pPr>
              <w:jc w:val="both"/>
              <w:rPr>
                <w:rFonts w:ascii="Century Gothic" w:hAnsi="Century Gothic" w:cs="Arial"/>
                <w:b/>
                <w:sz w:val="22"/>
                <w:szCs w:val="22"/>
              </w:rPr>
            </w:pPr>
            <w:r w:rsidRPr="00F32C16">
              <w:rPr>
                <w:rFonts w:ascii="Century Gothic" w:hAnsi="Century Gothic" w:cs="Arial"/>
                <w:b/>
                <w:sz w:val="22"/>
                <w:szCs w:val="22"/>
              </w:rPr>
              <w:t>Tutor for Admissions</w:t>
            </w:r>
          </w:p>
        </w:tc>
      </w:tr>
      <w:tr w:rsidR="00D90233" w:rsidRPr="00D90233" w14:paraId="79212580" w14:textId="77777777" w:rsidTr="000678C0">
        <w:tc>
          <w:tcPr>
            <w:tcW w:w="2518" w:type="dxa"/>
            <w:tcBorders>
              <w:left w:val="nil"/>
            </w:tcBorders>
            <w:shd w:val="clear" w:color="auto" w:fill="D9D9D9"/>
            <w:vAlign w:val="center"/>
          </w:tcPr>
          <w:p w14:paraId="7FE019E4" w14:textId="075C1E0F" w:rsidR="00D90233" w:rsidRPr="00F32C16" w:rsidRDefault="00F32C16" w:rsidP="009775CA">
            <w:pPr>
              <w:pStyle w:val="Tabletext"/>
              <w:rPr>
                <w:rFonts w:ascii="Century Gothic" w:hAnsi="Century Gothic"/>
                <w:szCs w:val="22"/>
              </w:rPr>
            </w:pPr>
            <w:r>
              <w:rPr>
                <w:rFonts w:ascii="Century Gothic" w:hAnsi="Century Gothic"/>
                <w:szCs w:val="22"/>
              </w:rPr>
              <w:t>Closing date</w:t>
            </w:r>
          </w:p>
        </w:tc>
        <w:tc>
          <w:tcPr>
            <w:tcW w:w="5704" w:type="dxa"/>
            <w:tcBorders>
              <w:right w:val="nil"/>
            </w:tcBorders>
            <w:vAlign w:val="center"/>
          </w:tcPr>
          <w:p w14:paraId="534E2CFF" w14:textId="2AC400A9" w:rsidR="00D90233" w:rsidRPr="00F32C16" w:rsidRDefault="00F32C16" w:rsidP="009775CA">
            <w:pPr>
              <w:pStyle w:val="Tabletext"/>
              <w:rPr>
                <w:rFonts w:ascii="Century Gothic" w:hAnsi="Century Gothic"/>
                <w:szCs w:val="22"/>
                <w:highlight w:val="yellow"/>
              </w:rPr>
            </w:pPr>
            <w:r>
              <w:rPr>
                <w:rFonts w:ascii="Century Gothic" w:hAnsi="Century Gothic"/>
                <w:szCs w:val="22"/>
              </w:rPr>
              <w:t xml:space="preserve">12:00 noon (UK time) on </w:t>
            </w:r>
            <w:r w:rsidR="00AC148B">
              <w:rPr>
                <w:rFonts w:ascii="Century Gothic" w:hAnsi="Century Gothic"/>
                <w:szCs w:val="22"/>
              </w:rPr>
              <w:t xml:space="preserve">Monday 27 </w:t>
            </w:r>
            <w:r w:rsidR="009775CA">
              <w:rPr>
                <w:rFonts w:ascii="Century Gothic" w:hAnsi="Century Gothic"/>
                <w:szCs w:val="22"/>
              </w:rPr>
              <w:t>September</w:t>
            </w:r>
            <w:r w:rsidR="00AC148B">
              <w:rPr>
                <w:rFonts w:ascii="Century Gothic" w:hAnsi="Century Gothic"/>
                <w:szCs w:val="22"/>
              </w:rPr>
              <w:t xml:space="preserve"> 2021</w:t>
            </w:r>
          </w:p>
        </w:tc>
      </w:tr>
    </w:tbl>
    <w:p w14:paraId="34E0AAE6" w14:textId="34535F39" w:rsidR="00E11C5D" w:rsidRPr="00D90233" w:rsidRDefault="00E11C5D" w:rsidP="009775CA">
      <w:pPr>
        <w:jc w:val="both"/>
        <w:rPr>
          <w:rFonts w:ascii="Century Gothic" w:hAnsi="Century Gothic" w:cs="Arial"/>
          <w:b/>
          <w:sz w:val="22"/>
          <w:szCs w:val="28"/>
        </w:rPr>
      </w:pPr>
    </w:p>
    <w:p w14:paraId="757B3599" w14:textId="77777777" w:rsidR="00F32C16" w:rsidRPr="00F32C16" w:rsidRDefault="00F32C16" w:rsidP="009775CA">
      <w:pPr>
        <w:pStyle w:val="Heading2"/>
        <w:jc w:val="both"/>
        <w:rPr>
          <w:rFonts w:ascii="Century Gothic" w:hAnsi="Century Gothic"/>
          <w:color w:val="auto"/>
          <w:sz w:val="28"/>
        </w:rPr>
      </w:pPr>
      <w:r w:rsidRPr="00F32C16">
        <w:rPr>
          <w:rFonts w:ascii="Century Gothic" w:hAnsi="Century Gothic"/>
          <w:color w:val="auto"/>
          <w:sz w:val="28"/>
        </w:rPr>
        <w:t>The Blavatnik School of Government</w:t>
      </w:r>
    </w:p>
    <w:p w14:paraId="12C4238C" w14:textId="77777777" w:rsidR="00F32C16" w:rsidRPr="00D90233" w:rsidRDefault="00F32C16" w:rsidP="009775CA">
      <w:pPr>
        <w:jc w:val="both"/>
      </w:pPr>
    </w:p>
    <w:p w14:paraId="0AAC0429" w14:textId="77777777" w:rsidR="00F32C16" w:rsidRPr="00F32C16" w:rsidRDefault="00F32C16" w:rsidP="009775CA">
      <w:pPr>
        <w:jc w:val="both"/>
        <w:rPr>
          <w:rFonts w:ascii="Century Gothic" w:hAnsi="Century Gothic" w:cs="Arial"/>
          <w:sz w:val="22"/>
          <w:szCs w:val="22"/>
        </w:rPr>
      </w:pPr>
      <w:r w:rsidRPr="00F32C16">
        <w:rPr>
          <w:rFonts w:ascii="Century Gothic" w:hAnsi="Century Gothic" w:cs="Arial"/>
          <w:sz w:val="22"/>
          <w:szCs w:val="22"/>
        </w:rPr>
        <w:t>The Blavatnik School of Government at the University of Oxford was established in 2010 with the aim of helping to build a world that is ‘better led, better served and better governed’. We believe in effective and rigorously tested public policy delivered by leaders of integrity, and strive to achieve this through our teaching, research and global engagement.</w:t>
      </w:r>
    </w:p>
    <w:p w14:paraId="04284EFA" w14:textId="77777777" w:rsidR="00F32C16" w:rsidRPr="00F32C16" w:rsidRDefault="00F32C16" w:rsidP="009775CA">
      <w:pPr>
        <w:jc w:val="both"/>
        <w:rPr>
          <w:rFonts w:ascii="Century Gothic" w:hAnsi="Century Gothic" w:cs="Arial"/>
          <w:sz w:val="22"/>
          <w:szCs w:val="22"/>
        </w:rPr>
      </w:pPr>
    </w:p>
    <w:p w14:paraId="196A8DB1" w14:textId="77777777" w:rsidR="00F32C16" w:rsidRPr="00F32C16" w:rsidRDefault="00F32C16" w:rsidP="009775CA">
      <w:pPr>
        <w:jc w:val="both"/>
        <w:rPr>
          <w:rFonts w:ascii="Century Gothic" w:hAnsi="Century Gothic" w:cs="Arial"/>
          <w:sz w:val="22"/>
          <w:szCs w:val="22"/>
        </w:rPr>
      </w:pPr>
      <w:r w:rsidRPr="00F32C16">
        <w:rPr>
          <w:rFonts w:ascii="Century Gothic" w:hAnsi="Century Gothic" w:cs="Arial"/>
          <w:sz w:val="22"/>
          <w:szCs w:val="22"/>
        </w:rPr>
        <w:t xml:space="preserve">The Blavatnik School offers a one-year taught Master of Public Policy (MPP) and we are seeking external assessors to work alongside our faculty on admissions. </w:t>
      </w:r>
    </w:p>
    <w:p w14:paraId="27CA862B" w14:textId="77777777" w:rsidR="00F32C16" w:rsidRPr="00F32C16" w:rsidRDefault="00F32C16" w:rsidP="009775CA">
      <w:pPr>
        <w:jc w:val="both"/>
        <w:rPr>
          <w:rFonts w:ascii="Century Gothic" w:hAnsi="Century Gothic" w:cs="Arial"/>
          <w:sz w:val="22"/>
          <w:szCs w:val="22"/>
        </w:rPr>
      </w:pPr>
    </w:p>
    <w:p w14:paraId="1F89D481" w14:textId="7169A455" w:rsidR="00F32C16" w:rsidRPr="00F32C16" w:rsidRDefault="00F32C16" w:rsidP="009775CA">
      <w:pPr>
        <w:jc w:val="both"/>
        <w:rPr>
          <w:rFonts w:ascii="Century Gothic" w:hAnsi="Century Gothic" w:cs="Arial"/>
          <w:sz w:val="22"/>
          <w:szCs w:val="22"/>
        </w:rPr>
      </w:pPr>
      <w:r w:rsidRPr="00F32C16">
        <w:rPr>
          <w:rFonts w:ascii="Century Gothic" w:hAnsi="Century Gothic" w:cs="Arial"/>
          <w:sz w:val="22"/>
          <w:szCs w:val="22"/>
        </w:rPr>
        <w:t>We are a uniquely international and diverse institution as exemplified in our MPP cohort – last year’s class comprised 1</w:t>
      </w:r>
      <w:r w:rsidR="00A705B0">
        <w:rPr>
          <w:rFonts w:ascii="Century Gothic" w:hAnsi="Century Gothic" w:cs="Arial"/>
          <w:sz w:val="22"/>
          <w:szCs w:val="22"/>
        </w:rPr>
        <w:t>45</w:t>
      </w:r>
      <w:r w:rsidRPr="00F32C16">
        <w:rPr>
          <w:rFonts w:ascii="Century Gothic" w:hAnsi="Century Gothic" w:cs="Arial"/>
          <w:sz w:val="22"/>
          <w:szCs w:val="22"/>
        </w:rPr>
        <w:t xml:space="preserve"> students from </w:t>
      </w:r>
      <w:r w:rsidR="00A705B0">
        <w:rPr>
          <w:rFonts w:ascii="Century Gothic" w:hAnsi="Century Gothic" w:cs="Arial"/>
          <w:sz w:val="22"/>
          <w:szCs w:val="22"/>
        </w:rPr>
        <w:t xml:space="preserve">over </w:t>
      </w:r>
      <w:r w:rsidRPr="00F32C16">
        <w:rPr>
          <w:rFonts w:ascii="Century Gothic" w:hAnsi="Century Gothic" w:cs="Arial"/>
          <w:sz w:val="22"/>
          <w:szCs w:val="22"/>
        </w:rPr>
        <w:t xml:space="preserve">50 countries and territories, covering a wide age range, came from many different sectors, and had diverse levels of experience. We offer an exciting, challenging and globally focused Oxford learning experience to outstanding graduate students who are committed to a career in public policy. We believe strongly that all countries have lessons to learn from one another, and that building strong links between future policy practitioners and leaders from different cultures, nations and sectors is to everyone’s benefit. Who we admit as students to the School is critical to this realising this. We receive many hundreds of applications for our MPP each year and are looking for assessors to help us decide who to offer places to on our competitive and highly sought after programme. </w:t>
      </w:r>
    </w:p>
    <w:p w14:paraId="05AA1D5A" w14:textId="77777777" w:rsidR="00F32C16" w:rsidRPr="00F32C16" w:rsidRDefault="00F32C16" w:rsidP="009775CA">
      <w:pPr>
        <w:jc w:val="both"/>
        <w:rPr>
          <w:rFonts w:ascii="Century Gothic" w:hAnsi="Century Gothic" w:cs="Arial"/>
          <w:sz w:val="22"/>
          <w:szCs w:val="22"/>
        </w:rPr>
      </w:pPr>
    </w:p>
    <w:p w14:paraId="1CB7122F" w14:textId="77777777" w:rsidR="0042780F" w:rsidRDefault="0042780F" w:rsidP="009775CA">
      <w:pPr>
        <w:jc w:val="both"/>
        <w:rPr>
          <w:rFonts w:ascii="Century Gothic" w:hAnsi="Century Gothic" w:cs="Arial"/>
          <w:sz w:val="22"/>
          <w:szCs w:val="22"/>
        </w:rPr>
      </w:pPr>
    </w:p>
    <w:p w14:paraId="04633A0D" w14:textId="77777777" w:rsidR="0042780F" w:rsidRDefault="0042780F" w:rsidP="009775CA">
      <w:pPr>
        <w:jc w:val="both"/>
        <w:rPr>
          <w:rFonts w:ascii="Century Gothic" w:hAnsi="Century Gothic" w:cs="Arial"/>
          <w:sz w:val="22"/>
          <w:szCs w:val="22"/>
        </w:rPr>
      </w:pPr>
    </w:p>
    <w:p w14:paraId="141061DC" w14:textId="77777777" w:rsidR="0042780F" w:rsidRDefault="0042780F" w:rsidP="009775CA">
      <w:pPr>
        <w:jc w:val="both"/>
        <w:rPr>
          <w:rFonts w:ascii="Century Gothic" w:hAnsi="Century Gothic" w:cs="Arial"/>
          <w:sz w:val="22"/>
          <w:szCs w:val="22"/>
        </w:rPr>
      </w:pPr>
    </w:p>
    <w:p w14:paraId="4D6A5953" w14:textId="7B65CD84" w:rsidR="00F32C16" w:rsidRPr="0042780F" w:rsidRDefault="00F32C16" w:rsidP="009775CA">
      <w:pPr>
        <w:spacing w:after="360"/>
        <w:jc w:val="both"/>
        <w:rPr>
          <w:rFonts w:ascii="Century Gothic" w:hAnsi="Century Gothic" w:cs="Arial"/>
          <w:sz w:val="22"/>
          <w:szCs w:val="22"/>
        </w:rPr>
      </w:pPr>
      <w:r w:rsidRPr="00F32C16">
        <w:rPr>
          <w:rFonts w:ascii="Century Gothic" w:hAnsi="Century Gothic" w:cs="Arial"/>
          <w:sz w:val="22"/>
          <w:szCs w:val="22"/>
        </w:rPr>
        <w:t xml:space="preserve">For more information about the Blavatnik School of Government see </w:t>
      </w:r>
      <w:hyperlink r:id="rId7" w:history="1">
        <w:r w:rsidRPr="00F32C16">
          <w:rPr>
            <w:rStyle w:val="Hyperlink"/>
            <w:rFonts w:ascii="Century Gothic" w:hAnsi="Century Gothic" w:cs="Arial"/>
            <w:sz w:val="22"/>
            <w:szCs w:val="22"/>
          </w:rPr>
          <w:t>www.bsg.ox.ac.uk</w:t>
        </w:r>
      </w:hyperlink>
      <w:r w:rsidRPr="00F32C16">
        <w:rPr>
          <w:rFonts w:ascii="Century Gothic" w:hAnsi="Century Gothic" w:cs="Arial"/>
          <w:sz w:val="22"/>
          <w:szCs w:val="22"/>
        </w:rPr>
        <w:t xml:space="preserve"> </w:t>
      </w:r>
    </w:p>
    <w:p w14:paraId="5537F450" w14:textId="5FAB65B9" w:rsidR="009D2ED9" w:rsidRPr="00F32C16" w:rsidRDefault="009D2ED9" w:rsidP="009775CA">
      <w:pPr>
        <w:pStyle w:val="Heading2"/>
        <w:jc w:val="both"/>
        <w:rPr>
          <w:rFonts w:ascii="Century Gothic" w:hAnsi="Century Gothic"/>
          <w:color w:val="auto"/>
          <w:sz w:val="28"/>
        </w:rPr>
      </w:pPr>
      <w:r w:rsidRPr="00F32C16">
        <w:rPr>
          <w:rFonts w:ascii="Century Gothic" w:hAnsi="Century Gothic"/>
          <w:color w:val="auto"/>
          <w:sz w:val="28"/>
        </w:rPr>
        <w:t>Overview of the post</w:t>
      </w:r>
    </w:p>
    <w:p w14:paraId="664B2A41" w14:textId="77777777" w:rsidR="009D2ED9" w:rsidRPr="00D90233" w:rsidRDefault="009D2ED9" w:rsidP="009775CA">
      <w:pPr>
        <w:jc w:val="both"/>
        <w:rPr>
          <w:rFonts w:ascii="Century Gothic" w:hAnsi="Century Gothic" w:cs="Arial"/>
          <w:sz w:val="22"/>
          <w:szCs w:val="28"/>
        </w:rPr>
      </w:pPr>
    </w:p>
    <w:p w14:paraId="0A5F1FB2" w14:textId="1A17E438" w:rsidR="00F32C16" w:rsidRPr="00F32C16" w:rsidRDefault="00F32C16" w:rsidP="009775CA">
      <w:pPr>
        <w:jc w:val="both"/>
        <w:rPr>
          <w:rFonts w:ascii="Century Gothic" w:hAnsi="Century Gothic" w:cs="Arial"/>
          <w:sz w:val="22"/>
          <w:szCs w:val="28"/>
        </w:rPr>
      </w:pPr>
      <w:r w:rsidRPr="00F32C16">
        <w:rPr>
          <w:rFonts w:ascii="Century Gothic" w:hAnsi="Century Gothic" w:cs="Arial"/>
          <w:sz w:val="22"/>
          <w:szCs w:val="28"/>
        </w:rPr>
        <w:t>Reporting to the Tutor for Admissions, the post holder will assess application files for our Master of Public Policy (MPP) programme. Applications are assessed holistically and contextually according to three key selection criteria: a) academic excellence, b) commitment to public service, and c) evidence of leadership and impact. At least two people will assess each file, with collated comments and score</w:t>
      </w:r>
      <w:r w:rsidR="00A705B0">
        <w:rPr>
          <w:rFonts w:ascii="Century Gothic" w:hAnsi="Century Gothic" w:cs="Arial"/>
          <w:sz w:val="22"/>
          <w:szCs w:val="28"/>
        </w:rPr>
        <w:t>s</w:t>
      </w:r>
      <w:r w:rsidRPr="00F32C16">
        <w:rPr>
          <w:rFonts w:ascii="Century Gothic" w:hAnsi="Century Gothic" w:cs="Arial"/>
          <w:sz w:val="22"/>
          <w:szCs w:val="28"/>
        </w:rPr>
        <w:t xml:space="preserve"> reviewed by the Tutor for Admissions and/or </w:t>
      </w:r>
      <w:r w:rsidR="00A705B0">
        <w:rPr>
          <w:rFonts w:ascii="Century Gothic" w:hAnsi="Century Gothic" w:cs="Arial"/>
          <w:sz w:val="22"/>
          <w:szCs w:val="28"/>
        </w:rPr>
        <w:t>a</w:t>
      </w:r>
      <w:r w:rsidRPr="00F32C16">
        <w:rPr>
          <w:rFonts w:ascii="Century Gothic" w:hAnsi="Century Gothic" w:cs="Arial"/>
          <w:sz w:val="22"/>
          <w:szCs w:val="28"/>
        </w:rPr>
        <w:t xml:space="preserve"> Senior Admissions Advisor. </w:t>
      </w:r>
    </w:p>
    <w:p w14:paraId="7E4F9ABF" w14:textId="77777777" w:rsidR="00F32C16" w:rsidRPr="00F32C16" w:rsidRDefault="00F32C16" w:rsidP="009775CA">
      <w:pPr>
        <w:jc w:val="both"/>
        <w:rPr>
          <w:rFonts w:ascii="Century Gothic" w:hAnsi="Century Gothic" w:cs="Arial"/>
          <w:sz w:val="22"/>
          <w:szCs w:val="28"/>
        </w:rPr>
      </w:pPr>
    </w:p>
    <w:p w14:paraId="4E2696EE" w14:textId="088714A5" w:rsidR="00D90233" w:rsidRDefault="00F32C16" w:rsidP="009775CA">
      <w:pPr>
        <w:spacing w:after="360"/>
        <w:jc w:val="both"/>
        <w:rPr>
          <w:rFonts w:ascii="Century Gothic" w:hAnsi="Century Gothic" w:cs="Arial"/>
          <w:sz w:val="22"/>
          <w:szCs w:val="28"/>
        </w:rPr>
      </w:pPr>
      <w:r w:rsidRPr="00F32C16">
        <w:rPr>
          <w:rFonts w:ascii="Century Gothic" w:hAnsi="Century Gothic" w:cs="Arial"/>
          <w:sz w:val="22"/>
          <w:szCs w:val="28"/>
        </w:rPr>
        <w:t>Each academic admissions assessor will be expected to complete up to 200 hours of assessment, depending on the number of applications received and reviewers available. Training wi</w:t>
      </w:r>
      <w:r w:rsidR="00AC148B">
        <w:rPr>
          <w:rFonts w:ascii="Century Gothic" w:hAnsi="Century Gothic" w:cs="Arial"/>
          <w:sz w:val="22"/>
          <w:szCs w:val="28"/>
        </w:rPr>
        <w:t>ll take place from November 2021</w:t>
      </w:r>
      <w:r w:rsidRPr="00F32C16">
        <w:rPr>
          <w:rFonts w:ascii="Century Gothic" w:hAnsi="Century Gothic" w:cs="Arial"/>
          <w:sz w:val="22"/>
          <w:szCs w:val="28"/>
        </w:rPr>
        <w:t xml:space="preserve"> with assessment happening from then until Ma</w:t>
      </w:r>
      <w:r w:rsidR="00AC148B">
        <w:rPr>
          <w:rFonts w:ascii="Century Gothic" w:hAnsi="Century Gothic" w:cs="Arial"/>
          <w:sz w:val="22"/>
          <w:szCs w:val="28"/>
        </w:rPr>
        <w:t>rch 2022</w:t>
      </w:r>
      <w:r w:rsidRPr="00F32C16">
        <w:rPr>
          <w:rFonts w:ascii="Century Gothic" w:hAnsi="Century Gothic" w:cs="Arial"/>
          <w:sz w:val="22"/>
          <w:szCs w:val="28"/>
        </w:rPr>
        <w:t xml:space="preserve">. Peak workloads </w:t>
      </w:r>
      <w:r w:rsidR="00A705B0">
        <w:rPr>
          <w:rFonts w:ascii="Century Gothic" w:hAnsi="Century Gothic" w:cs="Arial"/>
          <w:sz w:val="22"/>
          <w:szCs w:val="28"/>
        </w:rPr>
        <w:t xml:space="preserve">for assessments </w:t>
      </w:r>
      <w:r w:rsidRPr="00F32C16">
        <w:rPr>
          <w:rFonts w:ascii="Century Gothic" w:hAnsi="Century Gothic" w:cs="Arial"/>
          <w:sz w:val="22"/>
          <w:szCs w:val="28"/>
        </w:rPr>
        <w:t>are expected bet</w:t>
      </w:r>
      <w:r w:rsidR="00AC148B">
        <w:rPr>
          <w:rFonts w:ascii="Century Gothic" w:hAnsi="Century Gothic" w:cs="Arial"/>
          <w:sz w:val="22"/>
          <w:szCs w:val="28"/>
        </w:rPr>
        <w:t xml:space="preserve">ween 10 January and </w:t>
      </w:r>
      <w:r w:rsidR="00A705B0">
        <w:rPr>
          <w:rFonts w:ascii="Century Gothic" w:hAnsi="Century Gothic" w:cs="Arial"/>
          <w:sz w:val="22"/>
          <w:szCs w:val="28"/>
        </w:rPr>
        <w:t>25 February 2022.</w:t>
      </w:r>
      <w:r w:rsidRPr="00F32C16">
        <w:rPr>
          <w:rFonts w:ascii="Century Gothic" w:hAnsi="Century Gothic" w:cs="Arial"/>
          <w:sz w:val="22"/>
          <w:szCs w:val="28"/>
        </w:rPr>
        <w:t xml:space="preserve"> </w:t>
      </w:r>
    </w:p>
    <w:p w14:paraId="503E73E2" w14:textId="0865834E" w:rsidR="00CE1141" w:rsidRPr="00F32C16" w:rsidRDefault="00CE1141" w:rsidP="009775CA">
      <w:pPr>
        <w:pStyle w:val="Heading2"/>
        <w:jc w:val="both"/>
        <w:rPr>
          <w:rFonts w:ascii="Century Gothic" w:hAnsi="Century Gothic"/>
          <w:color w:val="auto"/>
          <w:sz w:val="28"/>
        </w:rPr>
      </w:pPr>
      <w:r w:rsidRPr="00F32C16">
        <w:rPr>
          <w:rFonts w:ascii="Century Gothic" w:hAnsi="Century Gothic"/>
          <w:color w:val="auto"/>
          <w:sz w:val="28"/>
        </w:rPr>
        <w:t xml:space="preserve">Responsibilities/duties </w:t>
      </w:r>
    </w:p>
    <w:p w14:paraId="06F0877C" w14:textId="77777777" w:rsidR="00CE1141" w:rsidRPr="00D90233" w:rsidRDefault="00CE1141" w:rsidP="009775CA">
      <w:pPr>
        <w:jc w:val="both"/>
        <w:rPr>
          <w:rFonts w:ascii="Century Gothic" w:hAnsi="Century Gothic" w:cs="Arial"/>
          <w:sz w:val="22"/>
          <w:szCs w:val="28"/>
        </w:rPr>
      </w:pPr>
    </w:p>
    <w:p w14:paraId="548A667B" w14:textId="77777777" w:rsidR="00CE1141" w:rsidRPr="00D90233" w:rsidRDefault="00CE1141" w:rsidP="009775CA">
      <w:pPr>
        <w:pStyle w:val="ListBullet"/>
        <w:rPr>
          <w:rFonts w:ascii="Century Gothic" w:hAnsi="Century Gothic" w:cs="Arial"/>
          <w:szCs w:val="28"/>
        </w:rPr>
      </w:pPr>
      <w:r w:rsidRPr="00D90233">
        <w:rPr>
          <w:rFonts w:ascii="Century Gothic" w:hAnsi="Century Gothic" w:cs="Arial"/>
          <w:szCs w:val="28"/>
        </w:rPr>
        <w:t>Complete in-house training on the MPP admissions process and selection criteria.</w:t>
      </w:r>
    </w:p>
    <w:p w14:paraId="5C8A4CA1" w14:textId="77777777" w:rsidR="00CE1141" w:rsidRPr="00D90233" w:rsidRDefault="00CE1141" w:rsidP="009775CA">
      <w:pPr>
        <w:pStyle w:val="ListBullet"/>
        <w:rPr>
          <w:rFonts w:ascii="Century Gothic" w:hAnsi="Century Gothic" w:cs="Arial"/>
          <w:szCs w:val="28"/>
        </w:rPr>
      </w:pPr>
      <w:r w:rsidRPr="00D90233">
        <w:rPr>
          <w:rFonts w:ascii="Century Gothic" w:hAnsi="Century Gothic" w:cs="Arial"/>
          <w:szCs w:val="28"/>
        </w:rPr>
        <w:t>Assess MPP application files according to provided criteria and guidance. Such assessment can be carried out at any location.</w:t>
      </w:r>
    </w:p>
    <w:p w14:paraId="6FFED084" w14:textId="392A54DD" w:rsidR="00CE1141" w:rsidRPr="00D90233" w:rsidRDefault="00F32C16" w:rsidP="009775CA">
      <w:pPr>
        <w:pStyle w:val="ListBullet"/>
        <w:rPr>
          <w:rFonts w:ascii="Century Gothic" w:hAnsi="Century Gothic" w:cs="Arial"/>
          <w:szCs w:val="28"/>
        </w:rPr>
      </w:pPr>
      <w:r>
        <w:rPr>
          <w:rFonts w:ascii="Century Gothic" w:hAnsi="Century Gothic" w:cs="Arial"/>
          <w:szCs w:val="28"/>
        </w:rPr>
        <w:t>Provide advice</w:t>
      </w:r>
      <w:r w:rsidR="00CE1141" w:rsidRPr="00D90233">
        <w:rPr>
          <w:rFonts w:ascii="Century Gothic" w:hAnsi="Century Gothic" w:cs="Arial"/>
          <w:szCs w:val="28"/>
        </w:rPr>
        <w:t xml:space="preserve"> to other </w:t>
      </w:r>
      <w:r w:rsidR="00A705B0">
        <w:rPr>
          <w:rFonts w:ascii="Century Gothic" w:hAnsi="Century Gothic" w:cs="Arial"/>
          <w:szCs w:val="28"/>
        </w:rPr>
        <w:t>assessors</w:t>
      </w:r>
      <w:r w:rsidR="00CE1141" w:rsidRPr="00D90233">
        <w:rPr>
          <w:rFonts w:ascii="Century Gothic" w:hAnsi="Century Gothic" w:cs="Arial"/>
          <w:szCs w:val="28"/>
        </w:rPr>
        <w:t xml:space="preserve"> in areas and/or regions of expertise.</w:t>
      </w:r>
    </w:p>
    <w:p w14:paraId="33BF44A2" w14:textId="167C5117" w:rsidR="00D90233" w:rsidRPr="00F32C16" w:rsidRDefault="00CE1141" w:rsidP="009775CA">
      <w:pPr>
        <w:pStyle w:val="ListBullet"/>
        <w:spacing w:after="480"/>
        <w:rPr>
          <w:rFonts w:ascii="Century Gothic" w:hAnsi="Century Gothic" w:cs="Arial"/>
          <w:szCs w:val="28"/>
        </w:rPr>
      </w:pPr>
      <w:r w:rsidRPr="00D90233">
        <w:rPr>
          <w:rFonts w:ascii="Century Gothic" w:hAnsi="Century Gothic" w:cs="Arial"/>
          <w:szCs w:val="28"/>
        </w:rPr>
        <w:t>Assist in refining the MPP assessment process</w:t>
      </w:r>
      <w:r w:rsidR="00234A40" w:rsidRPr="00D90233">
        <w:rPr>
          <w:rFonts w:ascii="Century Gothic" w:hAnsi="Century Gothic" w:cs="Arial"/>
          <w:szCs w:val="28"/>
        </w:rPr>
        <w:t>.</w:t>
      </w:r>
    </w:p>
    <w:p w14:paraId="2151F769" w14:textId="68E7FF84" w:rsidR="00CE1141" w:rsidRPr="00F32C16" w:rsidRDefault="00CE1141" w:rsidP="009775CA">
      <w:pPr>
        <w:pStyle w:val="Heading2"/>
        <w:jc w:val="both"/>
        <w:rPr>
          <w:rFonts w:ascii="Century Gothic" w:hAnsi="Century Gothic"/>
          <w:color w:val="auto"/>
          <w:sz w:val="28"/>
          <w:szCs w:val="28"/>
        </w:rPr>
      </w:pPr>
      <w:r w:rsidRPr="00F32C16">
        <w:rPr>
          <w:rFonts w:ascii="Century Gothic" w:hAnsi="Century Gothic"/>
          <w:color w:val="auto"/>
          <w:sz w:val="28"/>
          <w:szCs w:val="28"/>
        </w:rPr>
        <w:t>Selection Criteria</w:t>
      </w:r>
    </w:p>
    <w:p w14:paraId="608D46F1" w14:textId="77777777" w:rsidR="00CE1141" w:rsidRPr="00F32C16" w:rsidRDefault="00CE1141" w:rsidP="009775CA">
      <w:pPr>
        <w:pStyle w:val="Heading3"/>
        <w:jc w:val="both"/>
        <w:rPr>
          <w:rFonts w:ascii="Century Gothic" w:hAnsi="Century Gothic"/>
          <w:i/>
          <w:color w:val="auto"/>
          <w:szCs w:val="28"/>
        </w:rPr>
      </w:pPr>
      <w:r w:rsidRPr="00F32C16">
        <w:rPr>
          <w:rFonts w:ascii="Century Gothic" w:hAnsi="Century Gothic"/>
          <w:i/>
          <w:color w:val="auto"/>
          <w:szCs w:val="28"/>
        </w:rPr>
        <w:t>Essential</w:t>
      </w:r>
    </w:p>
    <w:p w14:paraId="26E7768D" w14:textId="77777777" w:rsidR="00CE1141" w:rsidRPr="00D90233" w:rsidRDefault="00CE1141" w:rsidP="00CE1141">
      <w:pPr>
        <w:rPr>
          <w:rFonts w:ascii="Century Gothic" w:hAnsi="Century Gothic" w:cs="Arial"/>
          <w:sz w:val="22"/>
          <w:szCs w:val="28"/>
        </w:rPr>
      </w:pPr>
    </w:p>
    <w:p w14:paraId="18BBC163" w14:textId="77777777" w:rsidR="00CE1141" w:rsidRPr="00D90233" w:rsidRDefault="00CE1141" w:rsidP="00C11F90">
      <w:pPr>
        <w:pStyle w:val="ListBullet"/>
        <w:rPr>
          <w:rFonts w:ascii="Century Gothic" w:hAnsi="Century Gothic"/>
        </w:rPr>
      </w:pPr>
      <w:r w:rsidRPr="00D90233">
        <w:rPr>
          <w:rFonts w:ascii="Century Gothic" w:hAnsi="Century Gothic"/>
        </w:rPr>
        <w:t>An undergraduate degree.</w:t>
      </w:r>
    </w:p>
    <w:p w14:paraId="75F6B559" w14:textId="77777777" w:rsidR="00CE1141" w:rsidRPr="00D90233" w:rsidRDefault="00CE1141" w:rsidP="00CE1141">
      <w:pPr>
        <w:pStyle w:val="ListBullet"/>
        <w:rPr>
          <w:rFonts w:ascii="Century Gothic" w:hAnsi="Century Gothic" w:cs="Arial"/>
          <w:szCs w:val="28"/>
        </w:rPr>
      </w:pPr>
      <w:r w:rsidRPr="00D90233">
        <w:rPr>
          <w:rFonts w:ascii="Century Gothic" w:hAnsi="Century Gothic" w:cs="Arial"/>
          <w:szCs w:val="28"/>
        </w:rPr>
        <w:t>A post-graduate degree and/or significant applicable professional experience.</w:t>
      </w:r>
    </w:p>
    <w:p w14:paraId="149814FD" w14:textId="599B671B" w:rsidR="00CE1141" w:rsidRPr="00D90233" w:rsidRDefault="00CE1141" w:rsidP="00CE1141">
      <w:pPr>
        <w:pStyle w:val="ListBullet"/>
        <w:rPr>
          <w:rFonts w:ascii="Century Gothic" w:hAnsi="Century Gothic" w:cs="Arial"/>
          <w:szCs w:val="28"/>
        </w:rPr>
      </w:pPr>
      <w:r w:rsidRPr="00D90233">
        <w:rPr>
          <w:rFonts w:ascii="Century Gothic" w:hAnsi="Century Gothic" w:cs="Arial"/>
          <w:szCs w:val="28"/>
        </w:rPr>
        <w:t>Experienc</w:t>
      </w:r>
      <w:r w:rsidR="00BC1B55">
        <w:rPr>
          <w:rFonts w:ascii="Century Gothic" w:hAnsi="Century Gothic" w:cs="Arial"/>
          <w:szCs w:val="28"/>
        </w:rPr>
        <w:t xml:space="preserve">e of academic teaching, marking </w:t>
      </w:r>
      <w:r w:rsidRPr="00D90233">
        <w:rPr>
          <w:rFonts w:ascii="Century Gothic" w:hAnsi="Century Gothic" w:cs="Arial"/>
          <w:szCs w:val="28"/>
        </w:rPr>
        <w:t>and/or admissions in a University, or comparable context.</w:t>
      </w:r>
    </w:p>
    <w:p w14:paraId="2969F8EA" w14:textId="4720A879" w:rsidR="00CE1141" w:rsidRPr="00D90233" w:rsidRDefault="00C11F90" w:rsidP="00CE1141">
      <w:pPr>
        <w:pStyle w:val="ListBullet"/>
        <w:rPr>
          <w:rFonts w:ascii="Century Gothic" w:hAnsi="Century Gothic" w:cs="Arial"/>
          <w:szCs w:val="28"/>
        </w:rPr>
      </w:pPr>
      <w:r w:rsidRPr="00D90233">
        <w:rPr>
          <w:rFonts w:ascii="Century Gothic" w:hAnsi="Century Gothic" w:cs="Arial"/>
          <w:szCs w:val="28"/>
        </w:rPr>
        <w:t>Extensive a</w:t>
      </w:r>
      <w:r w:rsidR="00CE1141" w:rsidRPr="00D90233">
        <w:rPr>
          <w:rFonts w:ascii="Century Gothic" w:hAnsi="Century Gothic" w:cs="Arial"/>
          <w:szCs w:val="28"/>
        </w:rPr>
        <w:t>vailability during</w:t>
      </w:r>
      <w:r w:rsidR="00234A40" w:rsidRPr="00D90233">
        <w:rPr>
          <w:rFonts w:ascii="Century Gothic" w:hAnsi="Century Gothic" w:cs="Arial"/>
          <w:szCs w:val="28"/>
        </w:rPr>
        <w:t xml:space="preserve"> the peak admissions period of </w:t>
      </w:r>
      <w:r w:rsidRPr="00D90233">
        <w:rPr>
          <w:rFonts w:ascii="Century Gothic" w:hAnsi="Century Gothic" w:cs="Arial"/>
          <w:szCs w:val="28"/>
        </w:rPr>
        <w:t>10</w:t>
      </w:r>
      <w:r w:rsidR="001F2A38" w:rsidRPr="00D90233">
        <w:rPr>
          <w:rFonts w:ascii="Century Gothic" w:hAnsi="Century Gothic" w:cs="Arial"/>
          <w:szCs w:val="28"/>
        </w:rPr>
        <w:t xml:space="preserve"> </w:t>
      </w:r>
      <w:r w:rsidR="00F32C16">
        <w:rPr>
          <w:rFonts w:ascii="Century Gothic" w:hAnsi="Century Gothic" w:cs="Arial"/>
          <w:szCs w:val="28"/>
        </w:rPr>
        <w:t>January</w:t>
      </w:r>
      <w:r w:rsidR="00110719" w:rsidRPr="00D90233">
        <w:rPr>
          <w:rFonts w:ascii="Century Gothic" w:hAnsi="Century Gothic" w:cs="Arial"/>
          <w:szCs w:val="28"/>
        </w:rPr>
        <w:t xml:space="preserve"> </w:t>
      </w:r>
      <w:r w:rsidR="00AC148B">
        <w:rPr>
          <w:rFonts w:ascii="Century Gothic" w:hAnsi="Century Gothic" w:cs="Arial"/>
          <w:szCs w:val="28"/>
        </w:rPr>
        <w:t>2022</w:t>
      </w:r>
      <w:r w:rsidR="00BC1B55">
        <w:rPr>
          <w:rFonts w:ascii="Century Gothic" w:hAnsi="Century Gothic" w:cs="Arial"/>
          <w:szCs w:val="28"/>
        </w:rPr>
        <w:t xml:space="preserve"> </w:t>
      </w:r>
      <w:r w:rsidR="00CE1141" w:rsidRPr="00D90233">
        <w:rPr>
          <w:rFonts w:ascii="Century Gothic" w:hAnsi="Century Gothic" w:cs="Arial"/>
          <w:szCs w:val="28"/>
        </w:rPr>
        <w:t xml:space="preserve">to </w:t>
      </w:r>
      <w:r w:rsidR="00A705B0">
        <w:rPr>
          <w:rFonts w:ascii="Century Gothic" w:hAnsi="Century Gothic" w:cs="Arial"/>
          <w:szCs w:val="28"/>
        </w:rPr>
        <w:t>26 February</w:t>
      </w:r>
      <w:r w:rsidR="001F2A38" w:rsidRPr="00D90233">
        <w:rPr>
          <w:rFonts w:ascii="Century Gothic" w:hAnsi="Century Gothic" w:cs="Arial"/>
          <w:szCs w:val="28"/>
        </w:rPr>
        <w:t xml:space="preserve"> </w:t>
      </w:r>
      <w:r w:rsidR="00CE1141" w:rsidRPr="00D90233">
        <w:rPr>
          <w:rFonts w:ascii="Century Gothic" w:hAnsi="Century Gothic" w:cs="Arial"/>
          <w:szCs w:val="28"/>
        </w:rPr>
        <w:t>20</w:t>
      </w:r>
      <w:r w:rsidR="00AC148B">
        <w:rPr>
          <w:rFonts w:ascii="Century Gothic" w:hAnsi="Century Gothic" w:cs="Arial"/>
          <w:szCs w:val="28"/>
        </w:rPr>
        <w:t>22</w:t>
      </w:r>
      <w:r w:rsidR="00CE1141" w:rsidRPr="00D90233">
        <w:rPr>
          <w:rFonts w:ascii="Century Gothic" w:hAnsi="Century Gothic" w:cs="Arial"/>
          <w:szCs w:val="28"/>
        </w:rPr>
        <w:t>.</w:t>
      </w:r>
    </w:p>
    <w:p w14:paraId="617EFC07" w14:textId="173D17AF" w:rsidR="00CE1141" w:rsidRPr="00D90233" w:rsidRDefault="00CE1141" w:rsidP="00F32C16">
      <w:pPr>
        <w:pStyle w:val="ListBullet"/>
        <w:rPr>
          <w:rFonts w:ascii="Century Gothic" w:hAnsi="Century Gothic" w:cs="Arial"/>
          <w:szCs w:val="28"/>
        </w:rPr>
      </w:pPr>
      <w:r w:rsidRPr="00D90233">
        <w:rPr>
          <w:rFonts w:ascii="Century Gothic" w:hAnsi="Century Gothic" w:cs="Arial"/>
          <w:szCs w:val="28"/>
        </w:rPr>
        <w:lastRenderedPageBreak/>
        <w:t>A</w:t>
      </w:r>
      <w:r w:rsidR="00F32C16" w:rsidRPr="00F32C16">
        <w:rPr>
          <w:rFonts w:ascii="Century Gothic" w:hAnsi="Century Gothic" w:cs="Arial"/>
          <w:szCs w:val="28"/>
        </w:rPr>
        <w:t>bility to independently manage time and workload to complete assessments as agreed with the Tutor for Admissions and/or Senior Admissions Advisor.</w:t>
      </w:r>
    </w:p>
    <w:p w14:paraId="5F977C45" w14:textId="4AEC0D63" w:rsidR="00CE1141" w:rsidRDefault="00CE1141" w:rsidP="00F32C16">
      <w:pPr>
        <w:pStyle w:val="ListBullet"/>
        <w:spacing w:after="360"/>
        <w:rPr>
          <w:rFonts w:ascii="Century Gothic" w:hAnsi="Century Gothic" w:cs="Arial"/>
          <w:szCs w:val="28"/>
        </w:rPr>
      </w:pPr>
      <w:r w:rsidRPr="00D90233">
        <w:rPr>
          <w:rFonts w:ascii="Century Gothic" w:hAnsi="Century Gothic" w:cs="Arial"/>
          <w:szCs w:val="28"/>
        </w:rPr>
        <w:t>Good team work and interpersonal skills.</w:t>
      </w:r>
    </w:p>
    <w:p w14:paraId="5CCA6A3A" w14:textId="2E1C3DA9" w:rsidR="00A705B0" w:rsidRPr="00D90233" w:rsidRDefault="00A705B0" w:rsidP="00F32C16">
      <w:pPr>
        <w:pStyle w:val="ListBullet"/>
        <w:spacing w:after="360"/>
        <w:rPr>
          <w:rFonts w:ascii="Century Gothic" w:hAnsi="Century Gothic" w:cs="Arial"/>
          <w:szCs w:val="28"/>
        </w:rPr>
      </w:pPr>
      <w:r>
        <w:rPr>
          <w:rFonts w:ascii="Century Gothic" w:hAnsi="Century Gothic" w:cs="Arial"/>
          <w:szCs w:val="28"/>
        </w:rPr>
        <w:t xml:space="preserve">Excellent judgment. </w:t>
      </w:r>
    </w:p>
    <w:p w14:paraId="509C4F63" w14:textId="3AB83AF4" w:rsidR="00CE1141" w:rsidRPr="00F32C16" w:rsidRDefault="00CE1141" w:rsidP="00D90233">
      <w:pPr>
        <w:pStyle w:val="Heading3"/>
        <w:rPr>
          <w:rFonts w:ascii="Century Gothic" w:hAnsi="Century Gothic"/>
          <w:i/>
          <w:color w:val="auto"/>
        </w:rPr>
      </w:pPr>
      <w:r w:rsidRPr="00F32C16">
        <w:rPr>
          <w:rFonts w:ascii="Century Gothic" w:hAnsi="Century Gothic"/>
          <w:i/>
          <w:color w:val="auto"/>
        </w:rPr>
        <w:t>Desirable</w:t>
      </w:r>
    </w:p>
    <w:p w14:paraId="48BA7BBB" w14:textId="77777777" w:rsidR="00D90233" w:rsidRPr="00D90233" w:rsidRDefault="00D90233" w:rsidP="00D90233">
      <w:pPr>
        <w:rPr>
          <w:rFonts w:ascii="Century Gothic" w:hAnsi="Century Gothic"/>
        </w:rPr>
      </w:pPr>
    </w:p>
    <w:p w14:paraId="179E6248" w14:textId="77777777" w:rsidR="00CE1141" w:rsidRPr="00D90233" w:rsidRDefault="00CE1141" w:rsidP="00CE1141">
      <w:pPr>
        <w:pStyle w:val="ListBullet"/>
        <w:rPr>
          <w:rFonts w:ascii="Century Gothic" w:hAnsi="Century Gothic" w:cs="Arial"/>
          <w:szCs w:val="28"/>
        </w:rPr>
      </w:pPr>
      <w:r w:rsidRPr="00D90233">
        <w:rPr>
          <w:rFonts w:ascii="Century Gothic" w:hAnsi="Century Gothic" w:cs="Arial"/>
          <w:szCs w:val="28"/>
        </w:rPr>
        <w:t>A doctorate degree.</w:t>
      </w:r>
    </w:p>
    <w:p w14:paraId="322D2B6A" w14:textId="2CD5BC66" w:rsidR="00CE1141" w:rsidRPr="00D90233" w:rsidRDefault="00CE1141" w:rsidP="00D90233">
      <w:pPr>
        <w:pStyle w:val="ListBullet"/>
        <w:rPr>
          <w:rFonts w:ascii="Century Gothic" w:hAnsi="Century Gothic"/>
        </w:rPr>
      </w:pPr>
      <w:r w:rsidRPr="00D90233">
        <w:rPr>
          <w:rFonts w:ascii="Century Gothic" w:hAnsi="Century Gothic"/>
        </w:rPr>
        <w:t>Specialist knowledge of one or more areas relevant to public policy (e</w:t>
      </w:r>
      <w:r w:rsidR="001F2A38" w:rsidRPr="00D90233">
        <w:rPr>
          <w:rFonts w:ascii="Century Gothic" w:hAnsi="Century Gothic"/>
        </w:rPr>
        <w:t>.</w:t>
      </w:r>
      <w:r w:rsidRPr="00D90233">
        <w:rPr>
          <w:rFonts w:ascii="Century Gothic" w:hAnsi="Century Gothic"/>
        </w:rPr>
        <w:t>g</w:t>
      </w:r>
      <w:r w:rsidR="001F2A38" w:rsidRPr="00D90233">
        <w:rPr>
          <w:rFonts w:ascii="Century Gothic" w:hAnsi="Century Gothic"/>
        </w:rPr>
        <w:t>.</w:t>
      </w:r>
      <w:r w:rsidRPr="00D90233">
        <w:rPr>
          <w:rFonts w:ascii="Century Gothic" w:hAnsi="Century Gothic"/>
        </w:rPr>
        <w:t xml:space="preserve"> philosophy, economics, political science, law, science).</w:t>
      </w:r>
    </w:p>
    <w:p w14:paraId="6D9164AE" w14:textId="77777777" w:rsidR="00DB70C8" w:rsidRDefault="00CE1141" w:rsidP="00DB70C8">
      <w:pPr>
        <w:pStyle w:val="ListBullet"/>
        <w:spacing w:after="360"/>
        <w:rPr>
          <w:rFonts w:ascii="Century Gothic" w:hAnsi="Century Gothic" w:cs="Arial"/>
          <w:szCs w:val="28"/>
        </w:rPr>
      </w:pPr>
      <w:r w:rsidRPr="00D90233">
        <w:rPr>
          <w:rFonts w:ascii="Century Gothic" w:hAnsi="Century Gothic" w:cs="Arial"/>
          <w:szCs w:val="28"/>
        </w:rPr>
        <w:t>Specialist knowledge or experience of the education system of one or more regions of the world outside the UK.</w:t>
      </w:r>
    </w:p>
    <w:p w14:paraId="630E2F04" w14:textId="77777777" w:rsidR="00783BF9" w:rsidRDefault="00783BF9" w:rsidP="00DB70C8">
      <w:pPr>
        <w:pStyle w:val="ListBullet"/>
        <w:numPr>
          <w:ilvl w:val="0"/>
          <w:numId w:val="0"/>
        </w:numPr>
        <w:spacing w:after="0"/>
        <w:rPr>
          <w:rFonts w:ascii="Century Gothic" w:hAnsi="Century Gothic"/>
          <w:b/>
          <w:sz w:val="28"/>
        </w:rPr>
      </w:pPr>
    </w:p>
    <w:p w14:paraId="5BA56803" w14:textId="35E310F4" w:rsidR="00D90233" w:rsidRPr="00DB70C8" w:rsidRDefault="00DB70C8" w:rsidP="00DB70C8">
      <w:pPr>
        <w:pStyle w:val="ListBullet"/>
        <w:numPr>
          <w:ilvl w:val="0"/>
          <w:numId w:val="0"/>
        </w:numPr>
        <w:spacing w:after="0"/>
        <w:rPr>
          <w:rFonts w:ascii="Century Gothic" w:hAnsi="Century Gothic"/>
          <w:b/>
          <w:sz w:val="28"/>
        </w:rPr>
      </w:pPr>
      <w:bookmarkStart w:id="0" w:name="_GoBack"/>
      <w:bookmarkEnd w:id="0"/>
      <w:r w:rsidRPr="00DB70C8">
        <w:rPr>
          <w:rFonts w:ascii="Century Gothic" w:hAnsi="Century Gothic"/>
          <w:b/>
          <w:sz w:val="28"/>
        </w:rPr>
        <w:t>How to apply</w:t>
      </w:r>
    </w:p>
    <w:p w14:paraId="3C927C7C" w14:textId="5ABE65C1" w:rsidR="00DB70C8" w:rsidRDefault="00DB70C8" w:rsidP="00DB70C8">
      <w:pPr>
        <w:pStyle w:val="ListBullet"/>
        <w:numPr>
          <w:ilvl w:val="0"/>
          <w:numId w:val="0"/>
        </w:numPr>
        <w:spacing w:after="0"/>
        <w:rPr>
          <w:rFonts w:ascii="Century Gothic" w:hAnsi="Century Gothic" w:cs="Arial"/>
          <w:szCs w:val="28"/>
        </w:rPr>
      </w:pPr>
    </w:p>
    <w:p w14:paraId="55528C9B" w14:textId="216637F8" w:rsidR="00DB70C8" w:rsidRPr="00DB70C8" w:rsidRDefault="00DB70C8" w:rsidP="00DB70C8">
      <w:pPr>
        <w:pStyle w:val="ListBullet"/>
        <w:numPr>
          <w:ilvl w:val="0"/>
          <w:numId w:val="0"/>
        </w:numPr>
        <w:spacing w:after="0"/>
        <w:rPr>
          <w:rFonts w:ascii="Century Gothic" w:hAnsi="Century Gothic" w:cs="Arial"/>
          <w:szCs w:val="28"/>
        </w:rPr>
      </w:pPr>
      <w:r w:rsidRPr="00DB70C8">
        <w:rPr>
          <w:rFonts w:ascii="Century Gothic" w:hAnsi="Century Gothic" w:cs="Arial"/>
          <w:szCs w:val="28"/>
        </w:rPr>
        <w:t xml:space="preserve">Please submit your </w:t>
      </w:r>
      <w:r>
        <w:rPr>
          <w:rFonts w:ascii="Century Gothic" w:hAnsi="Century Gothic" w:cs="Arial"/>
          <w:szCs w:val="28"/>
        </w:rPr>
        <w:t>CV and a brief covering letter explaining</w:t>
      </w:r>
      <w:r w:rsidRPr="00DB70C8">
        <w:rPr>
          <w:rFonts w:ascii="Century Gothic" w:hAnsi="Century Gothic" w:cs="Arial"/>
          <w:szCs w:val="28"/>
        </w:rPr>
        <w:t xml:space="preserve"> how you meet </w:t>
      </w:r>
      <w:r>
        <w:rPr>
          <w:rFonts w:ascii="Century Gothic" w:hAnsi="Century Gothic" w:cs="Arial"/>
          <w:szCs w:val="28"/>
        </w:rPr>
        <w:t xml:space="preserve">the </w:t>
      </w:r>
      <w:r w:rsidRPr="00DB70C8">
        <w:rPr>
          <w:rFonts w:ascii="Century Gothic" w:hAnsi="Century Gothic" w:cs="Arial"/>
          <w:szCs w:val="28"/>
        </w:rPr>
        <w:t xml:space="preserve">selection criteria (both documents to be saved with your name) to </w:t>
      </w:r>
      <w:hyperlink r:id="rId8" w:history="1">
        <w:r w:rsidRPr="00CE58C1">
          <w:rPr>
            <w:rStyle w:val="Hyperlink"/>
            <w:rFonts w:ascii="Century Gothic" w:hAnsi="Century Gothic" w:cs="Arial"/>
            <w:szCs w:val="28"/>
          </w:rPr>
          <w:t>recruit@bsg.ox.ac.uk</w:t>
        </w:r>
      </w:hyperlink>
      <w:r>
        <w:rPr>
          <w:rFonts w:ascii="Century Gothic" w:hAnsi="Century Gothic" w:cs="Arial"/>
          <w:szCs w:val="28"/>
        </w:rPr>
        <w:t xml:space="preserve"> </w:t>
      </w:r>
      <w:r w:rsidRPr="00DB70C8">
        <w:rPr>
          <w:rFonts w:ascii="Century Gothic" w:hAnsi="Century Gothic" w:cs="Arial"/>
          <w:szCs w:val="28"/>
        </w:rPr>
        <w:t xml:space="preserve">and </w:t>
      </w:r>
      <w:hyperlink r:id="rId9" w:history="1">
        <w:r w:rsidRPr="00CE58C1">
          <w:rPr>
            <w:rStyle w:val="Hyperlink"/>
            <w:rFonts w:ascii="Century Gothic" w:hAnsi="Century Gothic" w:cs="Arial"/>
            <w:szCs w:val="28"/>
          </w:rPr>
          <w:t>admissions@bsg.ox.ac.uk</w:t>
        </w:r>
      </w:hyperlink>
      <w:r>
        <w:rPr>
          <w:rFonts w:ascii="Century Gothic" w:hAnsi="Century Gothic" w:cs="Arial"/>
          <w:szCs w:val="28"/>
        </w:rPr>
        <w:t>.</w:t>
      </w:r>
    </w:p>
    <w:p w14:paraId="12AAECBE" w14:textId="4248DE02" w:rsidR="00DB70C8" w:rsidRDefault="00DB70C8" w:rsidP="00D90233">
      <w:pPr>
        <w:rPr>
          <w:rFonts w:ascii="Century Gothic" w:hAnsi="Century Gothic"/>
          <w:sz w:val="22"/>
        </w:rPr>
      </w:pPr>
    </w:p>
    <w:p w14:paraId="0079DA48" w14:textId="77777777" w:rsidR="00DB70C8" w:rsidRPr="00D90233" w:rsidRDefault="00DB70C8" w:rsidP="00D90233">
      <w:pPr>
        <w:rPr>
          <w:rFonts w:ascii="Century Gothic" w:hAnsi="Century Gothic"/>
          <w:sz w:val="22"/>
        </w:rPr>
      </w:pPr>
    </w:p>
    <w:sectPr w:rsidR="00DB70C8" w:rsidRPr="00D90233" w:rsidSect="000F769F">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6ECC" w14:textId="77777777" w:rsidR="00F145CA" w:rsidRDefault="00F145CA" w:rsidP="00FD4EF2">
      <w:r>
        <w:separator/>
      </w:r>
    </w:p>
  </w:endnote>
  <w:endnote w:type="continuationSeparator" w:id="0">
    <w:p w14:paraId="74584835" w14:textId="77777777" w:rsidR="00F145CA" w:rsidRDefault="00F145CA" w:rsidP="00FD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ڀ"/>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FCEA" w14:textId="77777777" w:rsidR="00F145CA" w:rsidRDefault="00F145CA" w:rsidP="00FD4EF2">
      <w:r>
        <w:separator/>
      </w:r>
    </w:p>
  </w:footnote>
  <w:footnote w:type="continuationSeparator" w:id="0">
    <w:p w14:paraId="48C4CAA2" w14:textId="77777777" w:rsidR="00F145CA" w:rsidRDefault="00F145CA" w:rsidP="00FD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B1A0" w14:textId="6F6DF860" w:rsidR="00D90233" w:rsidRDefault="00D90233" w:rsidP="00D90233">
    <w:pPr>
      <w:pStyle w:val="Header"/>
      <w:jc w:val="right"/>
    </w:pPr>
    <w:r>
      <w:rPr>
        <w:noProof/>
        <w:lang w:eastAsia="en-GB"/>
      </w:rPr>
      <w:drawing>
        <wp:inline distT="0" distB="0" distL="0" distR="0" wp14:anchorId="041FC792" wp14:editId="618101D4">
          <wp:extent cx="1801368" cy="8656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G LOGO for word.jpg"/>
                  <pic:cNvPicPr/>
                </pic:nvPicPr>
                <pic:blipFill>
                  <a:blip r:embed="rId1">
                    <a:extLst>
                      <a:ext uri="{28A0092B-C50C-407E-A947-70E740481C1C}">
                        <a14:useLocalDpi xmlns:a14="http://schemas.microsoft.com/office/drawing/2010/main" val="0"/>
                      </a:ext>
                    </a:extLst>
                  </a:blip>
                  <a:stretch>
                    <a:fillRect/>
                  </a:stretch>
                </pic:blipFill>
                <pic:spPr>
                  <a:xfrm>
                    <a:off x="0" y="0"/>
                    <a:ext cx="1801368" cy="865632"/>
                  </a:xfrm>
                  <a:prstGeom prst="rect">
                    <a:avLst/>
                  </a:prstGeom>
                </pic:spPr>
              </pic:pic>
            </a:graphicData>
          </a:graphic>
        </wp:inline>
      </w:drawing>
    </w:r>
  </w:p>
  <w:p w14:paraId="68DE5EAD" w14:textId="77777777" w:rsidR="00783BF9" w:rsidRDefault="00783BF9" w:rsidP="00D90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1F4D"/>
    <w:multiLevelType w:val="multilevel"/>
    <w:tmpl w:val="0E38003C"/>
    <w:lvl w:ilvl="0">
      <w:start w:val="1"/>
      <w:numFmt w:val="bullet"/>
      <w:pStyle w:val="ListBullet"/>
      <w:lvlText w:val=""/>
      <w:lvlJc w:val="left"/>
      <w:pPr>
        <w:tabs>
          <w:tab w:val="num" w:pos="576"/>
        </w:tabs>
        <w:ind w:left="284" w:hanging="284"/>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63044F5B"/>
    <w:multiLevelType w:val="hybridMultilevel"/>
    <w:tmpl w:val="53EE5696"/>
    <w:lvl w:ilvl="0" w:tplc="653654D2">
      <w:start w:val="1"/>
      <w:numFmt w:val="decimal"/>
      <w:lvlText w:val="%1."/>
      <w:lvlJc w:val="left"/>
      <w:pPr>
        <w:tabs>
          <w:tab w:val="num" w:pos="927"/>
        </w:tabs>
        <w:ind w:left="927" w:hanging="360"/>
      </w:pPr>
      <w:rPr>
        <w:rFonts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6575AF7"/>
    <w:multiLevelType w:val="hybridMultilevel"/>
    <w:tmpl w:val="1044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4546"/>
    <w:multiLevelType w:val="hybridMultilevel"/>
    <w:tmpl w:val="F460A860"/>
    <w:lvl w:ilvl="0" w:tplc="653654D2">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F5A15"/>
    <w:multiLevelType w:val="hybridMultilevel"/>
    <w:tmpl w:val="282462B2"/>
    <w:lvl w:ilvl="0" w:tplc="B5CAB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8E"/>
    <w:rsid w:val="0000659E"/>
    <w:rsid w:val="000678C0"/>
    <w:rsid w:val="000F769F"/>
    <w:rsid w:val="0010790A"/>
    <w:rsid w:val="00110719"/>
    <w:rsid w:val="00150E45"/>
    <w:rsid w:val="001B4358"/>
    <w:rsid w:val="001F245D"/>
    <w:rsid w:val="001F2A38"/>
    <w:rsid w:val="00223228"/>
    <w:rsid w:val="00234A40"/>
    <w:rsid w:val="00277D0D"/>
    <w:rsid w:val="00292A46"/>
    <w:rsid w:val="002B6EAA"/>
    <w:rsid w:val="002D2555"/>
    <w:rsid w:val="002F5CD6"/>
    <w:rsid w:val="00307C7C"/>
    <w:rsid w:val="00324246"/>
    <w:rsid w:val="003A31C7"/>
    <w:rsid w:val="003B24B1"/>
    <w:rsid w:val="003D1B98"/>
    <w:rsid w:val="003D69C3"/>
    <w:rsid w:val="003E2958"/>
    <w:rsid w:val="0042780F"/>
    <w:rsid w:val="004400FE"/>
    <w:rsid w:val="004C2175"/>
    <w:rsid w:val="004F4A6A"/>
    <w:rsid w:val="005A2D94"/>
    <w:rsid w:val="005A36D8"/>
    <w:rsid w:val="005D601C"/>
    <w:rsid w:val="005F6D96"/>
    <w:rsid w:val="00610EC9"/>
    <w:rsid w:val="006237F4"/>
    <w:rsid w:val="006462B2"/>
    <w:rsid w:val="00665E95"/>
    <w:rsid w:val="00677FB0"/>
    <w:rsid w:val="006E1C1F"/>
    <w:rsid w:val="00707AAA"/>
    <w:rsid w:val="00783BF9"/>
    <w:rsid w:val="00792916"/>
    <w:rsid w:val="00852720"/>
    <w:rsid w:val="00892B95"/>
    <w:rsid w:val="00897A09"/>
    <w:rsid w:val="008B5F68"/>
    <w:rsid w:val="008B6620"/>
    <w:rsid w:val="008E4B8F"/>
    <w:rsid w:val="00902181"/>
    <w:rsid w:val="00902B6B"/>
    <w:rsid w:val="00965DA3"/>
    <w:rsid w:val="009738DD"/>
    <w:rsid w:val="009775CA"/>
    <w:rsid w:val="009D2ED9"/>
    <w:rsid w:val="009D4445"/>
    <w:rsid w:val="009E609E"/>
    <w:rsid w:val="00A21D6D"/>
    <w:rsid w:val="00A26FB4"/>
    <w:rsid w:val="00A705B0"/>
    <w:rsid w:val="00A73289"/>
    <w:rsid w:val="00AC148B"/>
    <w:rsid w:val="00AE6EA5"/>
    <w:rsid w:val="00AF69B0"/>
    <w:rsid w:val="00B06848"/>
    <w:rsid w:val="00B44878"/>
    <w:rsid w:val="00B63177"/>
    <w:rsid w:val="00BC1B55"/>
    <w:rsid w:val="00BC2221"/>
    <w:rsid w:val="00BC722A"/>
    <w:rsid w:val="00C11F90"/>
    <w:rsid w:val="00C51CBD"/>
    <w:rsid w:val="00CE1141"/>
    <w:rsid w:val="00D13996"/>
    <w:rsid w:val="00D26D2B"/>
    <w:rsid w:val="00D805C1"/>
    <w:rsid w:val="00D85C96"/>
    <w:rsid w:val="00D90233"/>
    <w:rsid w:val="00DB70C8"/>
    <w:rsid w:val="00E112C7"/>
    <w:rsid w:val="00E11C5D"/>
    <w:rsid w:val="00E24101"/>
    <w:rsid w:val="00E2477A"/>
    <w:rsid w:val="00E655CF"/>
    <w:rsid w:val="00E7755A"/>
    <w:rsid w:val="00E94C8E"/>
    <w:rsid w:val="00F145CA"/>
    <w:rsid w:val="00F32C16"/>
    <w:rsid w:val="00F74F4B"/>
    <w:rsid w:val="00FA459C"/>
    <w:rsid w:val="00FD4EF2"/>
    <w:rsid w:val="00FE7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217C2"/>
  <w15:docId w15:val="{65AC04AA-4F30-451E-8249-28FEE96E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92A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1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C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94C8E"/>
    <w:rPr>
      <w:color w:val="0000FF"/>
      <w:u w:val="single"/>
    </w:rPr>
  </w:style>
  <w:style w:type="character" w:customStyle="1" w:styleId="Heading2Char">
    <w:name w:val="Heading 2 Char"/>
    <w:basedOn w:val="DefaultParagraphFont"/>
    <w:link w:val="Heading2"/>
    <w:uiPriority w:val="9"/>
    <w:rsid w:val="00292A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2A46"/>
    <w:pPr>
      <w:ind w:left="720"/>
      <w:contextualSpacing/>
    </w:pPr>
  </w:style>
  <w:style w:type="paragraph" w:styleId="BalloonText">
    <w:name w:val="Balloon Text"/>
    <w:basedOn w:val="Normal"/>
    <w:link w:val="BalloonTextChar"/>
    <w:uiPriority w:val="99"/>
    <w:semiHidden/>
    <w:unhideWhenUsed/>
    <w:rsid w:val="00B63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177"/>
    <w:rPr>
      <w:rFonts w:ascii="Lucida Grande" w:hAnsi="Lucida Grande"/>
      <w:sz w:val="18"/>
      <w:szCs w:val="18"/>
    </w:rPr>
  </w:style>
  <w:style w:type="character" w:styleId="CommentReference">
    <w:name w:val="annotation reference"/>
    <w:basedOn w:val="DefaultParagraphFont"/>
    <w:uiPriority w:val="99"/>
    <w:semiHidden/>
    <w:unhideWhenUsed/>
    <w:rsid w:val="00B63177"/>
    <w:rPr>
      <w:sz w:val="18"/>
      <w:szCs w:val="18"/>
    </w:rPr>
  </w:style>
  <w:style w:type="paragraph" w:styleId="CommentText">
    <w:name w:val="annotation text"/>
    <w:basedOn w:val="Normal"/>
    <w:link w:val="CommentTextChar"/>
    <w:uiPriority w:val="99"/>
    <w:semiHidden/>
    <w:unhideWhenUsed/>
    <w:rsid w:val="00B63177"/>
  </w:style>
  <w:style w:type="character" w:customStyle="1" w:styleId="CommentTextChar">
    <w:name w:val="Comment Text Char"/>
    <w:basedOn w:val="DefaultParagraphFont"/>
    <w:link w:val="CommentText"/>
    <w:uiPriority w:val="99"/>
    <w:semiHidden/>
    <w:rsid w:val="00B63177"/>
  </w:style>
  <w:style w:type="paragraph" w:styleId="CommentSubject">
    <w:name w:val="annotation subject"/>
    <w:basedOn w:val="CommentText"/>
    <w:next w:val="CommentText"/>
    <w:link w:val="CommentSubjectChar"/>
    <w:uiPriority w:val="99"/>
    <w:semiHidden/>
    <w:unhideWhenUsed/>
    <w:rsid w:val="00B63177"/>
    <w:rPr>
      <w:b/>
      <w:bCs/>
      <w:sz w:val="20"/>
      <w:szCs w:val="20"/>
    </w:rPr>
  </w:style>
  <w:style w:type="character" w:customStyle="1" w:styleId="CommentSubjectChar">
    <w:name w:val="Comment Subject Char"/>
    <w:basedOn w:val="CommentTextChar"/>
    <w:link w:val="CommentSubject"/>
    <w:uiPriority w:val="99"/>
    <w:semiHidden/>
    <w:rsid w:val="00B63177"/>
    <w:rPr>
      <w:b/>
      <w:bCs/>
      <w:sz w:val="20"/>
      <w:szCs w:val="20"/>
    </w:rPr>
  </w:style>
  <w:style w:type="paragraph" w:styleId="Revision">
    <w:name w:val="Revision"/>
    <w:hidden/>
    <w:uiPriority w:val="99"/>
    <w:semiHidden/>
    <w:rsid w:val="00B63177"/>
  </w:style>
  <w:style w:type="character" w:customStyle="1" w:styleId="Heading3Char">
    <w:name w:val="Heading 3 Char"/>
    <w:basedOn w:val="DefaultParagraphFont"/>
    <w:link w:val="Heading3"/>
    <w:uiPriority w:val="9"/>
    <w:rsid w:val="00CE1141"/>
    <w:rPr>
      <w:rFonts w:asciiTheme="majorHAnsi" w:eastAsiaTheme="majorEastAsia" w:hAnsiTheme="majorHAnsi" w:cstheme="majorBidi"/>
      <w:b/>
      <w:bCs/>
      <w:color w:val="4F81BD" w:themeColor="accent1"/>
    </w:rPr>
  </w:style>
  <w:style w:type="paragraph" w:styleId="ListBullet">
    <w:name w:val="List Bullet"/>
    <w:basedOn w:val="Normal"/>
    <w:semiHidden/>
    <w:rsid w:val="00CE1141"/>
    <w:pPr>
      <w:numPr>
        <w:numId w:val="5"/>
      </w:numPr>
      <w:tabs>
        <w:tab w:val="left" w:pos="1152"/>
        <w:tab w:val="left" w:pos="1728"/>
        <w:tab w:val="left" w:pos="5760"/>
        <w:tab w:val="right" w:pos="9029"/>
      </w:tabs>
      <w:suppressAutoHyphens/>
      <w:spacing w:after="240" w:line="240" w:lineRule="atLeast"/>
      <w:jc w:val="both"/>
    </w:pPr>
    <w:rPr>
      <w:rFonts w:ascii="Arial" w:eastAsia="Times New Roman" w:hAnsi="Arial" w:cs="Times New Roman"/>
      <w:sz w:val="22"/>
    </w:rPr>
  </w:style>
  <w:style w:type="paragraph" w:styleId="ListBullet2">
    <w:name w:val="List Bullet 2"/>
    <w:basedOn w:val="Normal"/>
    <w:semiHidden/>
    <w:rsid w:val="00CE1141"/>
    <w:pPr>
      <w:numPr>
        <w:ilvl w:val="2"/>
        <w:numId w:val="5"/>
      </w:numPr>
      <w:tabs>
        <w:tab w:val="left" w:pos="1728"/>
        <w:tab w:val="left" w:pos="5760"/>
        <w:tab w:val="right" w:pos="9029"/>
      </w:tabs>
      <w:suppressAutoHyphens/>
      <w:spacing w:after="240" w:line="240" w:lineRule="atLeast"/>
      <w:jc w:val="both"/>
    </w:pPr>
    <w:rPr>
      <w:rFonts w:ascii="Arial" w:eastAsia="Times New Roman" w:hAnsi="Arial" w:cs="Times New Roman"/>
      <w:sz w:val="22"/>
    </w:rPr>
  </w:style>
  <w:style w:type="paragraph" w:styleId="ListContinue">
    <w:name w:val="List Continue"/>
    <w:basedOn w:val="Normal"/>
    <w:semiHidden/>
    <w:rsid w:val="00CE1141"/>
    <w:pPr>
      <w:numPr>
        <w:ilvl w:val="1"/>
        <w:numId w:val="5"/>
      </w:numPr>
      <w:tabs>
        <w:tab w:val="left" w:pos="1152"/>
        <w:tab w:val="left" w:pos="1728"/>
        <w:tab w:val="left" w:pos="5760"/>
        <w:tab w:val="right" w:pos="9029"/>
      </w:tabs>
      <w:suppressAutoHyphens/>
      <w:spacing w:after="200" w:line="240" w:lineRule="atLeast"/>
      <w:jc w:val="both"/>
    </w:pPr>
    <w:rPr>
      <w:rFonts w:ascii="Arial" w:eastAsia="Times New Roman" w:hAnsi="Arial" w:cs="Times New Roman"/>
      <w:sz w:val="22"/>
    </w:rPr>
  </w:style>
  <w:style w:type="paragraph" w:styleId="ListContinue2">
    <w:name w:val="List Continue 2"/>
    <w:basedOn w:val="Normal"/>
    <w:semiHidden/>
    <w:rsid w:val="00CE1141"/>
    <w:pPr>
      <w:numPr>
        <w:ilvl w:val="3"/>
        <w:numId w:val="5"/>
      </w:numPr>
      <w:tabs>
        <w:tab w:val="left" w:pos="1152"/>
        <w:tab w:val="left" w:pos="1728"/>
        <w:tab w:val="left" w:pos="5760"/>
        <w:tab w:val="right" w:pos="9029"/>
      </w:tabs>
      <w:suppressAutoHyphens/>
      <w:spacing w:after="200" w:line="240" w:lineRule="atLeast"/>
      <w:jc w:val="both"/>
    </w:pPr>
    <w:rPr>
      <w:rFonts w:ascii="Arial" w:eastAsia="Times New Roman" w:hAnsi="Arial" w:cs="Times New Roman"/>
      <w:sz w:val="22"/>
    </w:rPr>
  </w:style>
  <w:style w:type="paragraph" w:styleId="Header">
    <w:name w:val="header"/>
    <w:basedOn w:val="Normal"/>
    <w:link w:val="HeaderChar"/>
    <w:uiPriority w:val="99"/>
    <w:unhideWhenUsed/>
    <w:rsid w:val="00FD4EF2"/>
    <w:pPr>
      <w:tabs>
        <w:tab w:val="center" w:pos="4513"/>
        <w:tab w:val="right" w:pos="9026"/>
      </w:tabs>
    </w:pPr>
  </w:style>
  <w:style w:type="character" w:customStyle="1" w:styleId="HeaderChar">
    <w:name w:val="Header Char"/>
    <w:basedOn w:val="DefaultParagraphFont"/>
    <w:link w:val="Header"/>
    <w:uiPriority w:val="99"/>
    <w:rsid w:val="00FD4EF2"/>
  </w:style>
  <w:style w:type="paragraph" w:styleId="Footer">
    <w:name w:val="footer"/>
    <w:basedOn w:val="Normal"/>
    <w:link w:val="FooterChar"/>
    <w:uiPriority w:val="99"/>
    <w:unhideWhenUsed/>
    <w:rsid w:val="00FD4EF2"/>
    <w:pPr>
      <w:tabs>
        <w:tab w:val="center" w:pos="4513"/>
        <w:tab w:val="right" w:pos="9026"/>
      </w:tabs>
    </w:pPr>
  </w:style>
  <w:style w:type="character" w:customStyle="1" w:styleId="FooterChar">
    <w:name w:val="Footer Char"/>
    <w:basedOn w:val="DefaultParagraphFont"/>
    <w:link w:val="Footer"/>
    <w:uiPriority w:val="99"/>
    <w:rsid w:val="00FD4EF2"/>
  </w:style>
  <w:style w:type="paragraph" w:customStyle="1" w:styleId="Tabletext">
    <w:name w:val="Table text"/>
    <w:basedOn w:val="Normal"/>
    <w:rsid w:val="00D90233"/>
    <w:pPr>
      <w:tabs>
        <w:tab w:val="left" w:pos="576"/>
        <w:tab w:val="left" w:pos="1152"/>
        <w:tab w:val="left" w:pos="1728"/>
        <w:tab w:val="left" w:pos="5760"/>
      </w:tabs>
      <w:suppressAutoHyphens/>
      <w:spacing w:before="100" w:after="100" w:line="240" w:lineRule="atLeast"/>
      <w:jc w:val="both"/>
    </w:pPr>
    <w:rPr>
      <w:rFonts w:ascii="Arial" w:eastAsia="Times New Roman" w:hAnsi="Arial"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1802">
      <w:bodyDiv w:val="1"/>
      <w:marLeft w:val="0"/>
      <w:marRight w:val="0"/>
      <w:marTop w:val="0"/>
      <w:marBottom w:val="0"/>
      <w:divBdr>
        <w:top w:val="none" w:sz="0" w:space="0" w:color="auto"/>
        <w:left w:val="none" w:sz="0" w:space="0" w:color="auto"/>
        <w:bottom w:val="none" w:sz="0" w:space="0" w:color="auto"/>
        <w:right w:val="none" w:sz="0" w:space="0" w:color="auto"/>
      </w:divBdr>
    </w:div>
    <w:div w:id="310328806">
      <w:bodyDiv w:val="1"/>
      <w:marLeft w:val="0"/>
      <w:marRight w:val="0"/>
      <w:marTop w:val="0"/>
      <w:marBottom w:val="0"/>
      <w:divBdr>
        <w:top w:val="none" w:sz="0" w:space="0" w:color="auto"/>
        <w:left w:val="none" w:sz="0" w:space="0" w:color="auto"/>
        <w:bottom w:val="none" w:sz="0" w:space="0" w:color="auto"/>
        <w:right w:val="none" w:sz="0" w:space="0" w:color="auto"/>
      </w:divBdr>
    </w:div>
    <w:div w:id="344405540">
      <w:bodyDiv w:val="1"/>
      <w:marLeft w:val="0"/>
      <w:marRight w:val="0"/>
      <w:marTop w:val="0"/>
      <w:marBottom w:val="0"/>
      <w:divBdr>
        <w:top w:val="none" w:sz="0" w:space="0" w:color="auto"/>
        <w:left w:val="none" w:sz="0" w:space="0" w:color="auto"/>
        <w:bottom w:val="none" w:sz="0" w:space="0" w:color="auto"/>
        <w:right w:val="none" w:sz="0" w:space="0" w:color="auto"/>
      </w:divBdr>
    </w:div>
    <w:div w:id="1471943383">
      <w:bodyDiv w:val="1"/>
      <w:marLeft w:val="0"/>
      <w:marRight w:val="0"/>
      <w:marTop w:val="0"/>
      <w:marBottom w:val="0"/>
      <w:divBdr>
        <w:top w:val="none" w:sz="0" w:space="0" w:color="auto"/>
        <w:left w:val="none" w:sz="0" w:space="0" w:color="auto"/>
        <w:bottom w:val="none" w:sz="0" w:space="0" w:color="auto"/>
        <w:right w:val="none" w:sz="0" w:space="0" w:color="auto"/>
      </w:divBdr>
    </w:div>
    <w:div w:id="1614510815">
      <w:bodyDiv w:val="1"/>
      <w:marLeft w:val="0"/>
      <w:marRight w:val="0"/>
      <w:marTop w:val="0"/>
      <w:marBottom w:val="0"/>
      <w:divBdr>
        <w:top w:val="none" w:sz="0" w:space="0" w:color="auto"/>
        <w:left w:val="none" w:sz="0" w:space="0" w:color="auto"/>
        <w:bottom w:val="none" w:sz="0" w:space="0" w:color="auto"/>
        <w:right w:val="none" w:sz="0" w:space="0" w:color="auto"/>
      </w:divBdr>
    </w:div>
    <w:div w:id="174144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bsg.ox.ac.uk" TargetMode="External"/><Relationship Id="rId3" Type="http://schemas.openxmlformats.org/officeDocument/2006/relationships/settings" Target="settings.xml"/><Relationship Id="rId7" Type="http://schemas.openxmlformats.org/officeDocument/2006/relationships/hyperlink" Target="http://www.bsg.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ssions@bsg.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BSG</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Deerin</dc:creator>
  <cp:lastModifiedBy>Brooke Martin-Garbutt</cp:lastModifiedBy>
  <cp:revision>4</cp:revision>
  <dcterms:created xsi:type="dcterms:W3CDTF">2021-07-27T12:44:00Z</dcterms:created>
  <dcterms:modified xsi:type="dcterms:W3CDTF">2021-08-26T10:50:00Z</dcterms:modified>
</cp:coreProperties>
</file>